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D94E3" w14:textId="48240783" w:rsidR="00AF6620" w:rsidRDefault="00AF6620">
      <w:pPr>
        <w:rPr>
          <w:b/>
          <w:lang w:val="en-US"/>
        </w:rPr>
      </w:pPr>
      <w:r w:rsidRPr="00EE50EF">
        <w:rPr>
          <w:b/>
          <w:lang w:val="en-US"/>
        </w:rPr>
        <w:t>Implementation Fidelity of the Integrated Chronic Disease Management Model – Assessment Tool Activities</w:t>
      </w:r>
    </w:p>
    <w:p w14:paraId="2940FCFD" w14:textId="77777777" w:rsidR="00733BFE" w:rsidRPr="00EE50EF" w:rsidRDefault="00733BFE">
      <w:pPr>
        <w:rPr>
          <w:b/>
          <w:lang w:val="en-US"/>
        </w:rPr>
      </w:pPr>
    </w:p>
    <w:tbl>
      <w:tblPr>
        <w:tblStyle w:val="TableGrid"/>
        <w:tblW w:w="5096" w:type="pct"/>
        <w:tblLook w:val="04A0" w:firstRow="1" w:lastRow="0" w:firstColumn="1" w:lastColumn="0" w:noHBand="0" w:noVBand="1"/>
      </w:tblPr>
      <w:tblGrid>
        <w:gridCol w:w="524"/>
        <w:gridCol w:w="3159"/>
        <w:gridCol w:w="523"/>
        <w:gridCol w:w="2841"/>
        <w:gridCol w:w="523"/>
        <w:gridCol w:w="2943"/>
        <w:gridCol w:w="523"/>
        <w:gridCol w:w="3182"/>
      </w:tblGrid>
      <w:tr w:rsidR="0048199D" w14:paraId="68267A5C" w14:textId="77777777" w:rsidTr="00EE50EF">
        <w:trPr>
          <w:trHeight w:val="254"/>
        </w:trPr>
        <w:tc>
          <w:tcPr>
            <w:tcW w:w="184" w:type="pct"/>
            <w:vMerge w:val="restart"/>
            <w:textDirection w:val="btLr"/>
          </w:tcPr>
          <w:p w14:paraId="72CA8954" w14:textId="68E91474" w:rsidR="0048199D" w:rsidRPr="00454A11" w:rsidRDefault="0048199D" w:rsidP="00454A11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b/>
                <w:sz w:val="28"/>
                <w:lang w:val="en-US"/>
              </w:rPr>
            </w:pPr>
            <w:r w:rsidRPr="00454A11">
              <w:rPr>
                <w:b/>
                <w:lang w:val="en-US"/>
              </w:rPr>
              <w:t>Facility Re-organization</w:t>
            </w:r>
          </w:p>
        </w:tc>
        <w:tc>
          <w:tcPr>
            <w:tcW w:w="1111" w:type="pct"/>
            <w:shd w:val="clear" w:color="auto" w:fill="D9D9D9" w:themeFill="background1" w:themeFillShade="D9"/>
          </w:tcPr>
          <w:p w14:paraId="6E532842" w14:textId="0B512FAE" w:rsidR="0048199D" w:rsidRPr="00733BFE" w:rsidRDefault="0048199D">
            <w:pPr>
              <w:rPr>
                <w:b/>
                <w:sz w:val="14"/>
                <w:szCs w:val="14"/>
                <w:lang w:val="en-US"/>
              </w:rPr>
            </w:pPr>
            <w:r w:rsidRPr="00733BFE">
              <w:rPr>
                <w:rFonts w:cs="Arial"/>
                <w:b/>
                <w:sz w:val="14"/>
                <w:szCs w:val="14"/>
              </w:rPr>
              <w:t>Administration of the Facility for ICDM Implementation</w:t>
            </w:r>
          </w:p>
        </w:tc>
        <w:tc>
          <w:tcPr>
            <w:tcW w:w="184" w:type="pct"/>
            <w:vMerge w:val="restart"/>
            <w:textDirection w:val="btLr"/>
          </w:tcPr>
          <w:p w14:paraId="491BB458" w14:textId="475E0AE9" w:rsidR="0048199D" w:rsidRPr="00454A11" w:rsidRDefault="0048199D" w:rsidP="00454A11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lang w:val="en-US"/>
              </w:rPr>
            </w:pPr>
            <w:r w:rsidRPr="0048199D">
              <w:rPr>
                <w:rFonts w:cs="Arial"/>
                <w:b/>
                <w:szCs w:val="20"/>
              </w:rPr>
              <w:t>Clinical Supportive Management</w:t>
            </w:r>
          </w:p>
        </w:tc>
        <w:tc>
          <w:tcPr>
            <w:tcW w:w="999" w:type="pct"/>
            <w:shd w:val="clear" w:color="auto" w:fill="D5DCE4" w:themeFill="text2" w:themeFillTint="33"/>
          </w:tcPr>
          <w:p w14:paraId="7EB02CC6" w14:textId="7CC580F8" w:rsidR="0048199D" w:rsidRPr="00733BFE" w:rsidRDefault="0048199D">
            <w:pPr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  <w:lang w:val="en-US"/>
              </w:rPr>
              <w:t>Integration of Care</w:t>
            </w:r>
          </w:p>
        </w:tc>
        <w:tc>
          <w:tcPr>
            <w:tcW w:w="184" w:type="pct"/>
            <w:vMerge w:val="restart"/>
            <w:textDirection w:val="btLr"/>
          </w:tcPr>
          <w:p w14:paraId="36E21011" w14:textId="67FDF078" w:rsidR="0048199D" w:rsidRPr="00454A11" w:rsidRDefault="0048199D" w:rsidP="00454A11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cstheme="minorHAnsi"/>
                <w:szCs w:val="15"/>
                <w:lang w:val="en-US"/>
              </w:rPr>
            </w:pPr>
            <w:r w:rsidRPr="00454A11">
              <w:rPr>
                <w:rFonts w:cs="Arial"/>
                <w:b/>
                <w:szCs w:val="20"/>
              </w:rPr>
              <w:t>Assisted Self-Management</w:t>
            </w:r>
          </w:p>
        </w:tc>
        <w:tc>
          <w:tcPr>
            <w:tcW w:w="1035" w:type="pct"/>
            <w:shd w:val="clear" w:color="auto" w:fill="FFF2CC" w:themeFill="accent4" w:themeFillTint="33"/>
          </w:tcPr>
          <w:p w14:paraId="5F0355F2" w14:textId="30ABEB6D" w:rsidR="0048199D" w:rsidRPr="00733BFE" w:rsidRDefault="0048199D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="Arial"/>
                <w:b/>
                <w:sz w:val="14"/>
                <w:szCs w:val="14"/>
              </w:rPr>
              <w:t>Community Ward Based PHC Outreach teams</w:t>
            </w:r>
          </w:p>
        </w:tc>
        <w:tc>
          <w:tcPr>
            <w:tcW w:w="184" w:type="pct"/>
            <w:vMerge w:val="restart"/>
            <w:textDirection w:val="btLr"/>
            <w:vAlign w:val="center"/>
          </w:tcPr>
          <w:p w14:paraId="1E051DA0" w14:textId="647A9885" w:rsidR="0048199D" w:rsidRPr="00454A11" w:rsidRDefault="0048199D" w:rsidP="00454A11">
            <w:pPr>
              <w:pStyle w:val="ListParagraph"/>
              <w:numPr>
                <w:ilvl w:val="0"/>
                <w:numId w:val="1"/>
              </w:numPr>
              <w:ind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454A11">
              <w:rPr>
                <w:rFonts w:cs="Arial"/>
                <w:b/>
              </w:rPr>
              <w:t>Strengthening of Support Systems</w:t>
            </w:r>
          </w:p>
        </w:tc>
        <w:tc>
          <w:tcPr>
            <w:tcW w:w="1119" w:type="pct"/>
            <w:shd w:val="clear" w:color="auto" w:fill="DEEAF6" w:themeFill="accent5" w:themeFillTint="33"/>
          </w:tcPr>
          <w:p w14:paraId="454E4E81" w14:textId="528BB1E2" w:rsidR="0048199D" w:rsidRPr="00733BFE" w:rsidRDefault="0048199D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="Arial"/>
                <w:b/>
                <w:sz w:val="14"/>
                <w:szCs w:val="14"/>
              </w:rPr>
              <w:t>Health Information</w:t>
            </w:r>
          </w:p>
        </w:tc>
      </w:tr>
      <w:tr w:rsidR="0048199D" w:rsidRPr="00EE5835" w14:paraId="71B0EEA1" w14:textId="77777777" w:rsidTr="00EE50EF">
        <w:tc>
          <w:tcPr>
            <w:tcW w:w="184" w:type="pct"/>
            <w:vMerge/>
          </w:tcPr>
          <w:p w14:paraId="273110E9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D9D9D9" w:themeFill="background1" w:themeFillShade="D9"/>
          </w:tcPr>
          <w:p w14:paraId="34D269AA" w14:textId="32F4EAA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A1.Clinic Operating Hours</w:t>
            </w:r>
          </w:p>
        </w:tc>
        <w:tc>
          <w:tcPr>
            <w:tcW w:w="184" w:type="pct"/>
            <w:vMerge/>
          </w:tcPr>
          <w:p w14:paraId="756DC8F5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2A848223" w14:textId="08011E9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B1. Chronic conditions included for integrated care</w:t>
            </w:r>
          </w:p>
        </w:tc>
        <w:tc>
          <w:tcPr>
            <w:tcW w:w="184" w:type="pct"/>
            <w:vMerge/>
          </w:tcPr>
          <w:p w14:paraId="24B3992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20628D4B" w14:textId="5A9F844C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C1.Ward based PHC outreach teams</w:t>
            </w:r>
          </w:p>
        </w:tc>
        <w:tc>
          <w:tcPr>
            <w:tcW w:w="184" w:type="pct"/>
            <w:vMerge/>
          </w:tcPr>
          <w:p w14:paraId="7FD3372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64F6F8BA" w14:textId="7A17466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D1. District Health Information System</w:t>
            </w:r>
          </w:p>
        </w:tc>
      </w:tr>
      <w:tr w:rsidR="0048199D" w:rsidRPr="00EE5835" w14:paraId="42049C77" w14:textId="77777777" w:rsidTr="00EE50EF">
        <w:tc>
          <w:tcPr>
            <w:tcW w:w="184" w:type="pct"/>
            <w:vMerge/>
          </w:tcPr>
          <w:p w14:paraId="2BBF886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D9D9D9" w:themeFill="background1" w:themeFillShade="D9"/>
          </w:tcPr>
          <w:p w14:paraId="4F55002D" w14:textId="78DA317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A2.Patient Flow</w:t>
            </w:r>
          </w:p>
        </w:tc>
        <w:tc>
          <w:tcPr>
            <w:tcW w:w="184" w:type="pct"/>
            <w:vMerge/>
          </w:tcPr>
          <w:p w14:paraId="542B516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515AA503" w14:textId="0B0F2026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B2. Healthcare provider integration</w:t>
            </w:r>
          </w:p>
        </w:tc>
        <w:tc>
          <w:tcPr>
            <w:tcW w:w="184" w:type="pct"/>
            <w:vMerge/>
          </w:tcPr>
          <w:p w14:paraId="54819089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6DDFCEAC" w14:textId="18DE3C4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C2. Composition of outreach teams</w:t>
            </w:r>
          </w:p>
        </w:tc>
        <w:tc>
          <w:tcPr>
            <w:tcW w:w="184" w:type="pct"/>
            <w:vMerge/>
          </w:tcPr>
          <w:p w14:paraId="3E0889BB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68989E7A" w14:textId="527D8211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D2. ART Data collection for ICDM</w:t>
            </w:r>
          </w:p>
        </w:tc>
      </w:tr>
      <w:tr w:rsidR="0048199D" w:rsidRPr="00EE5835" w14:paraId="68AAF29B" w14:textId="77777777" w:rsidTr="00EE50EF">
        <w:tc>
          <w:tcPr>
            <w:tcW w:w="184" w:type="pct"/>
            <w:vMerge/>
          </w:tcPr>
          <w:p w14:paraId="45F35B85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D9D9D9" w:themeFill="background1" w:themeFillShade="D9"/>
          </w:tcPr>
          <w:p w14:paraId="66CC8098" w14:textId="65A7F87E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A3.Chronic patient scheduling system</w:t>
            </w:r>
          </w:p>
        </w:tc>
        <w:tc>
          <w:tcPr>
            <w:tcW w:w="184" w:type="pct"/>
            <w:vMerge/>
          </w:tcPr>
          <w:p w14:paraId="081957B0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4F6F0373" w14:textId="3C3EDEE4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 xml:space="preserve">B3. Time integration </w:t>
            </w:r>
          </w:p>
        </w:tc>
        <w:tc>
          <w:tcPr>
            <w:tcW w:w="184" w:type="pct"/>
            <w:vMerge/>
          </w:tcPr>
          <w:p w14:paraId="5BCB7E4F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240AD270" w14:textId="3983734D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C3. Training on monitoring of chronic patients</w:t>
            </w:r>
          </w:p>
        </w:tc>
        <w:tc>
          <w:tcPr>
            <w:tcW w:w="184" w:type="pct"/>
            <w:vMerge/>
          </w:tcPr>
          <w:p w14:paraId="4E37D35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4EB3F42B" w14:textId="08ECB86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D3. TB Data collection for ICDM</w:t>
            </w:r>
          </w:p>
        </w:tc>
      </w:tr>
      <w:tr w:rsidR="0048199D" w:rsidRPr="00EE5835" w14:paraId="66291387" w14:textId="77777777" w:rsidTr="00EE50EF">
        <w:tc>
          <w:tcPr>
            <w:tcW w:w="184" w:type="pct"/>
            <w:vMerge/>
          </w:tcPr>
          <w:p w14:paraId="012A0E1D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D9D9D9" w:themeFill="background1" w:themeFillShade="D9"/>
          </w:tcPr>
          <w:p w14:paraId="7785EE1A" w14:textId="77F4F361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A4.Chronic patient’s records management</w:t>
            </w:r>
          </w:p>
        </w:tc>
        <w:tc>
          <w:tcPr>
            <w:tcW w:w="184" w:type="pct"/>
            <w:vMerge/>
          </w:tcPr>
          <w:p w14:paraId="3DA5DCAC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7FF773E2" w14:textId="27D4207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B4. Space integration</w:t>
            </w:r>
          </w:p>
        </w:tc>
        <w:tc>
          <w:tcPr>
            <w:tcW w:w="184" w:type="pct"/>
            <w:vMerge/>
          </w:tcPr>
          <w:p w14:paraId="6EC31544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456C0DEE" w14:textId="42AA6232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C4. Health education campaigns</w:t>
            </w:r>
          </w:p>
        </w:tc>
        <w:tc>
          <w:tcPr>
            <w:tcW w:w="184" w:type="pct"/>
            <w:vMerge/>
          </w:tcPr>
          <w:p w14:paraId="5D5F416C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2A5DA8FF" w14:textId="167F3DEA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D4. NCD Data collection for ICDM</w:t>
            </w:r>
          </w:p>
        </w:tc>
      </w:tr>
      <w:tr w:rsidR="0048199D" w:rsidRPr="00EE5835" w14:paraId="11EFF634" w14:textId="77777777" w:rsidTr="00EE50EF">
        <w:tc>
          <w:tcPr>
            <w:tcW w:w="184" w:type="pct"/>
            <w:vMerge/>
          </w:tcPr>
          <w:p w14:paraId="50DF1A87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3C13AD43" w14:textId="0F3A1AF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Infrastructure</w:t>
            </w:r>
          </w:p>
        </w:tc>
        <w:tc>
          <w:tcPr>
            <w:tcW w:w="184" w:type="pct"/>
            <w:vMerge/>
          </w:tcPr>
          <w:p w14:paraId="3489A6AD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630D5811" w14:textId="209ABAE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B5. Records integration</w:t>
            </w:r>
          </w:p>
        </w:tc>
        <w:tc>
          <w:tcPr>
            <w:tcW w:w="184" w:type="pct"/>
            <w:vMerge/>
          </w:tcPr>
          <w:p w14:paraId="0BD309C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1A0989E2" w14:textId="22CC868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C5. Support groups and adherence clubs</w:t>
            </w:r>
          </w:p>
        </w:tc>
        <w:tc>
          <w:tcPr>
            <w:tcW w:w="184" w:type="pct"/>
            <w:vMerge/>
          </w:tcPr>
          <w:p w14:paraId="7AFB5899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1782D9F3" w14:textId="098655B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D5. Outcomes Data for ICDM</w:t>
            </w:r>
          </w:p>
        </w:tc>
      </w:tr>
      <w:tr w:rsidR="0048199D" w:rsidRPr="00EE5835" w14:paraId="31537361" w14:textId="77777777" w:rsidTr="00EE50EF">
        <w:tc>
          <w:tcPr>
            <w:tcW w:w="184" w:type="pct"/>
            <w:vMerge/>
          </w:tcPr>
          <w:p w14:paraId="3DC4E1D6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1E84F295" w14:textId="30199B62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A5.State of building and cleanliness</w:t>
            </w:r>
          </w:p>
        </w:tc>
        <w:tc>
          <w:tcPr>
            <w:tcW w:w="184" w:type="pct"/>
            <w:vMerge/>
          </w:tcPr>
          <w:p w14:paraId="71E0E584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</w:tcPr>
          <w:p w14:paraId="055D3607" w14:textId="43CE1A5C" w:rsidR="0048199D" w:rsidRPr="00733BFE" w:rsidRDefault="0048199D" w:rsidP="00EE5835">
            <w:pPr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  <w:lang w:val="en-US"/>
              </w:rPr>
              <w:t>Guidelines and Resources</w:t>
            </w:r>
          </w:p>
        </w:tc>
        <w:tc>
          <w:tcPr>
            <w:tcW w:w="184" w:type="pct"/>
            <w:vMerge/>
          </w:tcPr>
          <w:p w14:paraId="788BB47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4518AA61" w14:textId="2BCD0F1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C6. Screening campaigns</w:t>
            </w:r>
          </w:p>
        </w:tc>
        <w:tc>
          <w:tcPr>
            <w:tcW w:w="184" w:type="pct"/>
            <w:vMerge/>
          </w:tcPr>
          <w:p w14:paraId="5E4D2AB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516BD83D" w14:textId="2629E59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D6. Data collection tools</w:t>
            </w:r>
          </w:p>
        </w:tc>
      </w:tr>
      <w:tr w:rsidR="0048199D" w:rsidRPr="00EE5835" w14:paraId="204D0D48" w14:textId="77777777" w:rsidTr="00EE50EF">
        <w:tc>
          <w:tcPr>
            <w:tcW w:w="184" w:type="pct"/>
            <w:vMerge/>
          </w:tcPr>
          <w:p w14:paraId="697E143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56FBE192" w14:textId="72E9536E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A6.Water supply and sanitation</w:t>
            </w:r>
          </w:p>
        </w:tc>
        <w:tc>
          <w:tcPr>
            <w:tcW w:w="184" w:type="pct"/>
            <w:vMerge/>
          </w:tcPr>
          <w:p w14:paraId="1CB89A40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  <w:vAlign w:val="center"/>
          </w:tcPr>
          <w:p w14:paraId="4A015E58" w14:textId="3B30383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B6. PC 101 Guidelines for Chronic Patients</w:t>
            </w:r>
          </w:p>
        </w:tc>
        <w:tc>
          <w:tcPr>
            <w:tcW w:w="184" w:type="pct"/>
            <w:vMerge/>
          </w:tcPr>
          <w:p w14:paraId="2C66E905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24D9B8B4" w14:textId="2B5F00A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Community Healthcare Workers (CHW)</w:t>
            </w:r>
          </w:p>
        </w:tc>
        <w:tc>
          <w:tcPr>
            <w:tcW w:w="184" w:type="pct"/>
            <w:vMerge/>
          </w:tcPr>
          <w:p w14:paraId="4F8F928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51F432C8" w14:textId="7275FA5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Medicine Supply and Management</w:t>
            </w:r>
          </w:p>
        </w:tc>
      </w:tr>
      <w:tr w:rsidR="0048199D" w:rsidRPr="00EE5835" w14:paraId="04DB85A0" w14:textId="77777777" w:rsidTr="00EE50EF">
        <w:tc>
          <w:tcPr>
            <w:tcW w:w="184" w:type="pct"/>
            <w:vMerge/>
          </w:tcPr>
          <w:p w14:paraId="470348D7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416DA033" w14:textId="56E9C90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A7.Medical waste management</w:t>
            </w:r>
          </w:p>
        </w:tc>
        <w:tc>
          <w:tcPr>
            <w:tcW w:w="184" w:type="pct"/>
            <w:vMerge/>
          </w:tcPr>
          <w:p w14:paraId="7F870A3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  <w:vAlign w:val="center"/>
          </w:tcPr>
          <w:p w14:paraId="0E9B5EF4" w14:textId="4A4D6DE0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B7. NIMART Guidelines</w:t>
            </w:r>
          </w:p>
        </w:tc>
        <w:tc>
          <w:tcPr>
            <w:tcW w:w="184" w:type="pct"/>
            <w:vMerge/>
          </w:tcPr>
          <w:p w14:paraId="223C9D98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640E3718" w14:textId="76798A32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C7. Facility dedicated CHW</w:t>
            </w:r>
          </w:p>
        </w:tc>
        <w:tc>
          <w:tcPr>
            <w:tcW w:w="184" w:type="pct"/>
            <w:vMerge/>
          </w:tcPr>
          <w:p w14:paraId="10648F8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7CE1FE08" w14:textId="55FC3522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D7. Stock card management</w:t>
            </w:r>
          </w:p>
        </w:tc>
      </w:tr>
      <w:tr w:rsidR="0048199D" w:rsidRPr="00EE5835" w14:paraId="1B07CBD3" w14:textId="77777777" w:rsidTr="00EE50EF">
        <w:tc>
          <w:tcPr>
            <w:tcW w:w="184" w:type="pct"/>
            <w:vMerge/>
          </w:tcPr>
          <w:p w14:paraId="74A20365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29EF13C5" w14:textId="4DC3695A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A8.Space for consultation</w:t>
            </w:r>
          </w:p>
        </w:tc>
        <w:tc>
          <w:tcPr>
            <w:tcW w:w="184" w:type="pct"/>
            <w:vMerge/>
          </w:tcPr>
          <w:p w14:paraId="74CCA8FB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  <w:vAlign w:val="center"/>
          </w:tcPr>
          <w:p w14:paraId="1D4ED198" w14:textId="6AA7379F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B8. PALSA Plus Guidelines</w:t>
            </w:r>
          </w:p>
        </w:tc>
        <w:tc>
          <w:tcPr>
            <w:tcW w:w="184" w:type="pct"/>
            <w:vMerge/>
          </w:tcPr>
          <w:p w14:paraId="001D070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06692358" w14:textId="6C500B7D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C8. CHW trained</w:t>
            </w:r>
          </w:p>
        </w:tc>
        <w:tc>
          <w:tcPr>
            <w:tcW w:w="184" w:type="pct"/>
            <w:vMerge/>
          </w:tcPr>
          <w:p w14:paraId="0A7D9EF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10475154" w14:textId="290F8E80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</w:t>
            </w:r>
            <w:r w:rsidR="002009B8">
              <w:rPr>
                <w:rFonts w:cstheme="minorHAnsi"/>
                <w:sz w:val="14"/>
                <w:szCs w:val="14"/>
              </w:rPr>
              <w:t>8</w:t>
            </w:r>
            <w:r w:rsidRPr="00733BFE">
              <w:rPr>
                <w:rFonts w:cstheme="minorHAnsi"/>
                <w:sz w:val="14"/>
                <w:szCs w:val="14"/>
              </w:rPr>
              <w:t>. Re-order levels</w:t>
            </w:r>
          </w:p>
        </w:tc>
      </w:tr>
      <w:tr w:rsidR="0048199D" w:rsidRPr="00EE5835" w14:paraId="0B994DE3" w14:textId="77777777" w:rsidTr="00EE50EF">
        <w:tc>
          <w:tcPr>
            <w:tcW w:w="184" w:type="pct"/>
            <w:vMerge/>
          </w:tcPr>
          <w:p w14:paraId="15231BFF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5DF05A1B" w14:textId="0675B072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A9.Waiting area for patients with a chronic disease</w:t>
            </w:r>
          </w:p>
        </w:tc>
        <w:tc>
          <w:tcPr>
            <w:tcW w:w="184" w:type="pct"/>
            <w:vMerge/>
          </w:tcPr>
          <w:p w14:paraId="25C0CA7D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  <w:vAlign w:val="center"/>
          </w:tcPr>
          <w:p w14:paraId="60C581C3" w14:textId="7B03647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B9. NCD management Guidelines</w:t>
            </w:r>
          </w:p>
        </w:tc>
        <w:tc>
          <w:tcPr>
            <w:tcW w:w="184" w:type="pct"/>
            <w:vMerge/>
          </w:tcPr>
          <w:p w14:paraId="4AC0B2D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7EF5BDE8" w14:textId="5A3849D0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C9. Frequency of visits to households</w:t>
            </w:r>
          </w:p>
        </w:tc>
        <w:tc>
          <w:tcPr>
            <w:tcW w:w="184" w:type="pct"/>
            <w:vMerge/>
          </w:tcPr>
          <w:p w14:paraId="348356EE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2DAAC6CC" w14:textId="7FBEEA8E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</w:t>
            </w:r>
            <w:r w:rsidR="002009B8">
              <w:rPr>
                <w:rFonts w:cstheme="minorHAnsi"/>
                <w:sz w:val="14"/>
                <w:szCs w:val="14"/>
              </w:rPr>
              <w:t>9</w:t>
            </w:r>
            <w:r w:rsidRPr="00733BFE">
              <w:rPr>
                <w:rFonts w:cstheme="minorHAnsi"/>
                <w:sz w:val="14"/>
                <w:szCs w:val="14"/>
              </w:rPr>
              <w:t xml:space="preserve">. Medication storage room </w:t>
            </w:r>
          </w:p>
        </w:tc>
      </w:tr>
      <w:tr w:rsidR="0048199D" w:rsidRPr="00EE5835" w14:paraId="063C9B09" w14:textId="77777777" w:rsidTr="00EE50EF">
        <w:tc>
          <w:tcPr>
            <w:tcW w:w="184" w:type="pct"/>
            <w:vMerge/>
          </w:tcPr>
          <w:p w14:paraId="134DC5C6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515A9455" w14:textId="1D129AF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A10. Vital signs stations for chronic patients</w:t>
            </w:r>
          </w:p>
        </w:tc>
        <w:tc>
          <w:tcPr>
            <w:tcW w:w="184" w:type="pct"/>
            <w:vMerge/>
          </w:tcPr>
          <w:p w14:paraId="5176AEB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  <w:vAlign w:val="center"/>
          </w:tcPr>
          <w:p w14:paraId="43173020" w14:textId="731B859C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B10. TB Treatment Guidelines</w:t>
            </w:r>
          </w:p>
        </w:tc>
        <w:tc>
          <w:tcPr>
            <w:tcW w:w="184" w:type="pct"/>
            <w:vMerge/>
          </w:tcPr>
          <w:p w14:paraId="58317D68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29A8FB46" w14:textId="6EC88DE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C10. Secondary health promotion</w:t>
            </w:r>
          </w:p>
        </w:tc>
        <w:tc>
          <w:tcPr>
            <w:tcW w:w="184" w:type="pct"/>
            <w:vMerge/>
          </w:tcPr>
          <w:p w14:paraId="52BC64B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207010AE" w14:textId="645D4A4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0</w:t>
            </w:r>
            <w:r w:rsidRPr="00733BFE">
              <w:rPr>
                <w:rFonts w:cstheme="minorHAnsi"/>
                <w:sz w:val="14"/>
                <w:szCs w:val="14"/>
              </w:rPr>
              <w:t>. Condition of dispensary or medication storage room</w:t>
            </w:r>
          </w:p>
        </w:tc>
      </w:tr>
      <w:tr w:rsidR="0048199D" w:rsidRPr="00EE5835" w14:paraId="0FF719EC" w14:textId="77777777" w:rsidTr="00EE50EF">
        <w:tc>
          <w:tcPr>
            <w:tcW w:w="184" w:type="pct"/>
            <w:vMerge/>
          </w:tcPr>
          <w:p w14:paraId="513E810E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BFBFBF" w:themeFill="background1" w:themeFillShade="BF"/>
          </w:tcPr>
          <w:p w14:paraId="65E9C522" w14:textId="42BCEEAA" w:rsidR="0048199D" w:rsidRPr="00733BFE" w:rsidRDefault="0048199D" w:rsidP="00EE5835">
            <w:pPr>
              <w:rPr>
                <w:rFonts w:cstheme="minorHAnsi"/>
                <w:b/>
                <w:sz w:val="14"/>
                <w:szCs w:val="14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Human Resource</w:t>
            </w:r>
          </w:p>
        </w:tc>
        <w:tc>
          <w:tcPr>
            <w:tcW w:w="184" w:type="pct"/>
            <w:vMerge/>
          </w:tcPr>
          <w:p w14:paraId="543C9B64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ACB9CA" w:themeFill="text2" w:themeFillTint="66"/>
            <w:vAlign w:val="center"/>
          </w:tcPr>
          <w:p w14:paraId="342236B4" w14:textId="340815D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B11. ICDM Manual</w:t>
            </w:r>
          </w:p>
        </w:tc>
        <w:tc>
          <w:tcPr>
            <w:tcW w:w="184" w:type="pct"/>
            <w:vMerge/>
          </w:tcPr>
          <w:p w14:paraId="1F995608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5886450D" w14:textId="0A3ACDC6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C11. Basic point-of-care testing</w:t>
            </w:r>
          </w:p>
        </w:tc>
        <w:tc>
          <w:tcPr>
            <w:tcW w:w="184" w:type="pct"/>
            <w:vMerge/>
          </w:tcPr>
          <w:p w14:paraId="3213DCE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3F0DD026" w14:textId="59D9226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1</w:t>
            </w:r>
            <w:r w:rsidRPr="00733BFE">
              <w:rPr>
                <w:rFonts w:cstheme="minorHAnsi"/>
                <w:sz w:val="14"/>
                <w:szCs w:val="14"/>
              </w:rPr>
              <w:t>. Storage areas within a dispensary or medication storage room</w:t>
            </w:r>
          </w:p>
        </w:tc>
      </w:tr>
      <w:tr w:rsidR="0048199D" w:rsidRPr="00EE5835" w14:paraId="07D5FEE5" w14:textId="77777777" w:rsidTr="00EE50EF">
        <w:tc>
          <w:tcPr>
            <w:tcW w:w="184" w:type="pct"/>
            <w:vMerge/>
          </w:tcPr>
          <w:p w14:paraId="22486D4F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A6A6A6" w:themeFill="background1" w:themeFillShade="A6"/>
          </w:tcPr>
          <w:p w14:paraId="4F96415F" w14:textId="6E4BA901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A11. Clinical Personnel trained on ICDM</w:t>
            </w:r>
          </w:p>
        </w:tc>
        <w:tc>
          <w:tcPr>
            <w:tcW w:w="184" w:type="pct"/>
            <w:vMerge/>
          </w:tcPr>
          <w:p w14:paraId="5256B2E6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8496B0" w:themeFill="text2" w:themeFillTint="99"/>
          </w:tcPr>
          <w:p w14:paraId="631A1624" w14:textId="07B85D6D" w:rsidR="0048199D" w:rsidRPr="00733BFE" w:rsidRDefault="0048199D" w:rsidP="00EE5835">
            <w:pPr>
              <w:rPr>
                <w:rFonts w:cstheme="minorHAnsi"/>
                <w:b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  <w:lang w:val="en-US"/>
              </w:rPr>
              <w:t>Facility ICDM Champion and ICM reporting</w:t>
            </w:r>
          </w:p>
        </w:tc>
        <w:tc>
          <w:tcPr>
            <w:tcW w:w="184" w:type="pct"/>
            <w:vMerge/>
          </w:tcPr>
          <w:p w14:paraId="7AD0553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E599" w:themeFill="accent4" w:themeFillTint="66"/>
          </w:tcPr>
          <w:p w14:paraId="25612B25" w14:textId="20951BE7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C12. Referral of unwell patients</w:t>
            </w:r>
          </w:p>
        </w:tc>
        <w:tc>
          <w:tcPr>
            <w:tcW w:w="184" w:type="pct"/>
            <w:vMerge/>
          </w:tcPr>
          <w:p w14:paraId="1BC0E51D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BDD6EE" w:themeFill="accent5" w:themeFillTint="66"/>
          </w:tcPr>
          <w:p w14:paraId="522245A0" w14:textId="75A2857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2</w:t>
            </w:r>
            <w:r w:rsidRPr="00733BFE">
              <w:rPr>
                <w:rFonts w:cstheme="minorHAnsi"/>
                <w:sz w:val="14"/>
                <w:szCs w:val="14"/>
              </w:rPr>
              <w:t>. Access management for a dispensary or medication storage room</w:t>
            </w:r>
          </w:p>
        </w:tc>
      </w:tr>
      <w:tr w:rsidR="0048199D" w:rsidRPr="00EE5835" w14:paraId="60B899E6" w14:textId="77777777" w:rsidTr="00EE50EF">
        <w:tc>
          <w:tcPr>
            <w:tcW w:w="184" w:type="pct"/>
            <w:vMerge/>
          </w:tcPr>
          <w:p w14:paraId="077125DA" w14:textId="77777777" w:rsidR="0048199D" w:rsidRPr="00EE5835" w:rsidRDefault="0048199D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A6A6A6" w:themeFill="background1" w:themeFillShade="A6"/>
          </w:tcPr>
          <w:p w14:paraId="1AC5D525" w14:textId="6F3885BB" w:rsidR="0048199D" w:rsidRPr="00733BFE" w:rsidRDefault="0048199D" w:rsidP="00430C13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A12. Clinical Personnel allocated to ICDM</w:t>
            </w:r>
          </w:p>
        </w:tc>
        <w:tc>
          <w:tcPr>
            <w:tcW w:w="184" w:type="pct"/>
            <w:vMerge/>
          </w:tcPr>
          <w:p w14:paraId="328EA1B7" w14:textId="77777777" w:rsidR="0048199D" w:rsidRPr="00EE5835" w:rsidRDefault="0048199D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8496B0" w:themeFill="text2" w:themeFillTint="99"/>
          </w:tcPr>
          <w:p w14:paraId="24DEC8F1" w14:textId="521E4F24" w:rsidR="0048199D" w:rsidRPr="00733BFE" w:rsidRDefault="0048199D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B12. Facility ICDM Champion Identified</w:t>
            </w:r>
          </w:p>
        </w:tc>
        <w:tc>
          <w:tcPr>
            <w:tcW w:w="184" w:type="pct"/>
            <w:vMerge/>
          </w:tcPr>
          <w:p w14:paraId="11CF88C4" w14:textId="77777777" w:rsidR="0048199D" w:rsidRPr="00EE5835" w:rsidRDefault="0048199D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61BE780E" w14:textId="76B8FB5C" w:rsidR="0048199D" w:rsidRPr="00733BFE" w:rsidRDefault="0048199D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Health Promotion</w:t>
            </w:r>
          </w:p>
        </w:tc>
        <w:tc>
          <w:tcPr>
            <w:tcW w:w="184" w:type="pct"/>
            <w:vMerge/>
          </w:tcPr>
          <w:p w14:paraId="63109B68" w14:textId="77777777" w:rsidR="0048199D" w:rsidRPr="00EE5835" w:rsidRDefault="0048199D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9CC2E5" w:themeFill="accent5" w:themeFillTint="99"/>
          </w:tcPr>
          <w:p w14:paraId="0F26DB52" w14:textId="767B3301" w:rsidR="0048199D" w:rsidRPr="00733BFE" w:rsidRDefault="0048199D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Equipment Supply and Management</w:t>
            </w:r>
          </w:p>
        </w:tc>
      </w:tr>
      <w:tr w:rsidR="0048199D" w:rsidRPr="00EE5835" w14:paraId="2489CEDB" w14:textId="77777777" w:rsidTr="00EE50EF">
        <w:tc>
          <w:tcPr>
            <w:tcW w:w="184" w:type="pct"/>
            <w:vMerge/>
          </w:tcPr>
          <w:p w14:paraId="5B2508B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A6A6A6" w:themeFill="background1" w:themeFillShade="A6"/>
          </w:tcPr>
          <w:p w14:paraId="36CBA248" w14:textId="553B7065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A13. Nurses trained on PC 101 Guidelines</w:t>
            </w:r>
          </w:p>
        </w:tc>
        <w:tc>
          <w:tcPr>
            <w:tcW w:w="184" w:type="pct"/>
            <w:vMerge/>
          </w:tcPr>
          <w:p w14:paraId="3D1D632C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8496B0" w:themeFill="text2" w:themeFillTint="99"/>
          </w:tcPr>
          <w:p w14:paraId="2B725F9C" w14:textId="3D507F1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B13. Champion for ICDM still functioning</w:t>
            </w:r>
          </w:p>
        </w:tc>
        <w:tc>
          <w:tcPr>
            <w:tcW w:w="184" w:type="pct"/>
            <w:vMerge/>
          </w:tcPr>
          <w:p w14:paraId="5DCAA83B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42A4C0FE" w14:textId="632D38D7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C13. Personnel allocated to health promotion</w:t>
            </w:r>
          </w:p>
        </w:tc>
        <w:tc>
          <w:tcPr>
            <w:tcW w:w="184" w:type="pct"/>
            <w:vMerge/>
          </w:tcPr>
          <w:p w14:paraId="458C96C8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9CC2E5" w:themeFill="accent5" w:themeFillTint="99"/>
          </w:tcPr>
          <w:p w14:paraId="3D814D93" w14:textId="1EF3687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3</w:t>
            </w:r>
            <w:r w:rsidRPr="00733BFE">
              <w:rPr>
                <w:rFonts w:cstheme="minorHAnsi"/>
                <w:sz w:val="14"/>
                <w:szCs w:val="14"/>
              </w:rPr>
              <w:t>. Essential equipment for reception</w:t>
            </w:r>
          </w:p>
        </w:tc>
      </w:tr>
      <w:tr w:rsidR="0048199D" w:rsidRPr="00EE5835" w14:paraId="27DF94B6" w14:textId="77777777" w:rsidTr="00EE50EF">
        <w:tc>
          <w:tcPr>
            <w:tcW w:w="184" w:type="pct"/>
            <w:vMerge/>
          </w:tcPr>
          <w:p w14:paraId="71AB4CAF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A6A6A6" w:themeFill="background1" w:themeFillShade="A6"/>
          </w:tcPr>
          <w:p w14:paraId="53A9CF55" w14:textId="06A086D0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A14. Nurses trained on NIMART</w:t>
            </w:r>
          </w:p>
        </w:tc>
        <w:tc>
          <w:tcPr>
            <w:tcW w:w="184" w:type="pct"/>
            <w:vMerge/>
          </w:tcPr>
          <w:p w14:paraId="3483D02A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8496B0" w:themeFill="text2" w:themeFillTint="99"/>
          </w:tcPr>
          <w:p w14:paraId="3FD59E65" w14:textId="436C12AA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B14. Monitoring and evaluation of ICDM implementation</w:t>
            </w:r>
          </w:p>
        </w:tc>
        <w:tc>
          <w:tcPr>
            <w:tcW w:w="184" w:type="pct"/>
            <w:vMerge/>
          </w:tcPr>
          <w:p w14:paraId="012A58F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50A2DDA2" w14:textId="3E14CB8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C14. Frequency of health promotion activities</w:t>
            </w:r>
          </w:p>
        </w:tc>
        <w:tc>
          <w:tcPr>
            <w:tcW w:w="184" w:type="pct"/>
            <w:vMerge/>
          </w:tcPr>
          <w:p w14:paraId="131D5FA8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9CC2E5" w:themeFill="accent5" w:themeFillTint="99"/>
          </w:tcPr>
          <w:p w14:paraId="68EB59C4" w14:textId="1B8405AE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4</w:t>
            </w:r>
            <w:r w:rsidRPr="00733BFE">
              <w:rPr>
                <w:rFonts w:cstheme="minorHAnsi"/>
                <w:sz w:val="14"/>
                <w:szCs w:val="14"/>
              </w:rPr>
              <w:t>. Essential equipment for vital signs station</w:t>
            </w:r>
          </w:p>
        </w:tc>
      </w:tr>
      <w:tr w:rsidR="0048199D" w:rsidRPr="00EE5835" w14:paraId="0173DBA9" w14:textId="77777777" w:rsidTr="00EE50EF">
        <w:tc>
          <w:tcPr>
            <w:tcW w:w="184" w:type="pct"/>
            <w:vMerge/>
          </w:tcPr>
          <w:p w14:paraId="56A2A76C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A6A6A6" w:themeFill="background1" w:themeFillShade="A6"/>
          </w:tcPr>
          <w:p w14:paraId="38FDB74C" w14:textId="2F2EFD60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A15. Nurses scheduling for ICDM</w:t>
            </w:r>
          </w:p>
        </w:tc>
        <w:tc>
          <w:tcPr>
            <w:tcW w:w="184" w:type="pct"/>
            <w:vMerge/>
          </w:tcPr>
          <w:p w14:paraId="786DA90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8496B0" w:themeFill="text2" w:themeFillTint="99"/>
          </w:tcPr>
          <w:p w14:paraId="21F9C018" w14:textId="6B7AB7E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B15. Reporting on ICDM implementation</w:t>
            </w:r>
          </w:p>
        </w:tc>
        <w:tc>
          <w:tcPr>
            <w:tcW w:w="184" w:type="pct"/>
            <w:vMerge/>
          </w:tcPr>
          <w:p w14:paraId="054B10B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2BCC2414" w14:textId="0BE5F8B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C15. Place of educational talks</w:t>
            </w:r>
          </w:p>
        </w:tc>
        <w:tc>
          <w:tcPr>
            <w:tcW w:w="184" w:type="pct"/>
            <w:vMerge/>
          </w:tcPr>
          <w:p w14:paraId="5190DB9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9CC2E5" w:themeFill="accent5" w:themeFillTint="99"/>
          </w:tcPr>
          <w:p w14:paraId="3D4454BE" w14:textId="090AF4D1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5</w:t>
            </w:r>
            <w:r w:rsidRPr="00733BFE">
              <w:rPr>
                <w:rFonts w:cstheme="minorHAnsi"/>
                <w:sz w:val="14"/>
                <w:szCs w:val="14"/>
              </w:rPr>
              <w:t>. Essential equipment for consulting rooms</w:t>
            </w:r>
          </w:p>
        </w:tc>
      </w:tr>
      <w:tr w:rsidR="0048199D" w:rsidRPr="00EE5835" w14:paraId="10848998" w14:textId="77777777" w:rsidTr="00EE50EF">
        <w:tc>
          <w:tcPr>
            <w:tcW w:w="184" w:type="pct"/>
            <w:vMerge/>
          </w:tcPr>
          <w:p w14:paraId="2467406D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A6A6A6" w:themeFill="background1" w:themeFillShade="A6"/>
          </w:tcPr>
          <w:p w14:paraId="281F6C84" w14:textId="7A4D2112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A16. Other support staff for ICDM</w:t>
            </w:r>
          </w:p>
        </w:tc>
        <w:tc>
          <w:tcPr>
            <w:tcW w:w="184" w:type="pct"/>
            <w:vMerge/>
          </w:tcPr>
          <w:p w14:paraId="5892D267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139E9A14" w14:textId="54C06489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District Clinical Specialist Team (DCST)</w:t>
            </w:r>
          </w:p>
        </w:tc>
        <w:tc>
          <w:tcPr>
            <w:tcW w:w="184" w:type="pct"/>
            <w:vMerge/>
          </w:tcPr>
          <w:p w14:paraId="4689B0E1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2B5389BF" w14:textId="5E9A5F68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C16. Material on TB disease</w:t>
            </w:r>
          </w:p>
        </w:tc>
        <w:tc>
          <w:tcPr>
            <w:tcW w:w="184" w:type="pct"/>
            <w:vMerge/>
          </w:tcPr>
          <w:p w14:paraId="3ED82E57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9CC2E5" w:themeFill="accent5" w:themeFillTint="99"/>
          </w:tcPr>
          <w:p w14:paraId="0676A42A" w14:textId="3FDD5759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6</w:t>
            </w:r>
            <w:r w:rsidRPr="00733BFE">
              <w:rPr>
                <w:rFonts w:cstheme="minorHAnsi"/>
                <w:sz w:val="14"/>
                <w:szCs w:val="14"/>
              </w:rPr>
              <w:t>. Essential equipment for resuscitation room</w:t>
            </w:r>
          </w:p>
        </w:tc>
      </w:tr>
      <w:tr w:rsidR="0048199D" w:rsidRPr="00EE5835" w14:paraId="64CBE2E9" w14:textId="77777777" w:rsidTr="00920996">
        <w:tc>
          <w:tcPr>
            <w:tcW w:w="184" w:type="pct"/>
            <w:vMerge/>
          </w:tcPr>
          <w:p w14:paraId="0494925E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52BFD366" w14:textId="167DAE42" w:rsidR="0048199D" w:rsidRPr="00733BFE" w:rsidRDefault="0048199D" w:rsidP="00EE5835">
            <w:pPr>
              <w:rPr>
                <w:rFonts w:cstheme="minorHAnsi"/>
                <w:b/>
                <w:sz w:val="14"/>
                <w:szCs w:val="14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Dispensing of Medication</w:t>
            </w:r>
          </w:p>
        </w:tc>
        <w:tc>
          <w:tcPr>
            <w:tcW w:w="184" w:type="pct"/>
            <w:vMerge/>
          </w:tcPr>
          <w:p w14:paraId="241DD330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273B97D4" w14:textId="7CA3AAB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B16. Facility access to a District clinical specialist team</w:t>
            </w:r>
          </w:p>
        </w:tc>
        <w:tc>
          <w:tcPr>
            <w:tcW w:w="184" w:type="pct"/>
            <w:vMerge/>
          </w:tcPr>
          <w:p w14:paraId="343C6D1E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0D32EE38" w14:textId="362203BF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C17. Material on lifestyle diseases</w:t>
            </w:r>
          </w:p>
        </w:tc>
        <w:tc>
          <w:tcPr>
            <w:tcW w:w="184" w:type="pct"/>
            <w:vMerge/>
          </w:tcPr>
          <w:p w14:paraId="75E99768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9CC2E5" w:themeFill="accent5" w:themeFillTint="99"/>
          </w:tcPr>
          <w:p w14:paraId="1D627269" w14:textId="4C3FB9BA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7</w:t>
            </w:r>
            <w:r w:rsidRPr="00733BFE">
              <w:rPr>
                <w:rFonts w:cstheme="minorHAnsi"/>
                <w:sz w:val="14"/>
                <w:szCs w:val="14"/>
              </w:rPr>
              <w:t>. Equipment management</w:t>
            </w:r>
          </w:p>
        </w:tc>
        <w:bookmarkStart w:id="0" w:name="_GoBack"/>
        <w:bookmarkEnd w:id="0"/>
      </w:tr>
      <w:tr w:rsidR="0048199D" w:rsidRPr="00EE5835" w14:paraId="72A91234" w14:textId="77777777" w:rsidTr="008E0DAC">
        <w:tc>
          <w:tcPr>
            <w:tcW w:w="184" w:type="pct"/>
            <w:vMerge/>
          </w:tcPr>
          <w:p w14:paraId="407ECA6B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5B2843BC" w14:textId="2FCAAB4D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A17.Chronic medication stock at facility</w:t>
            </w:r>
          </w:p>
        </w:tc>
        <w:tc>
          <w:tcPr>
            <w:tcW w:w="184" w:type="pct"/>
            <w:vMerge/>
          </w:tcPr>
          <w:p w14:paraId="32BB6D79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5B637D31" w14:textId="394FFAFE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B17. Composition of the District clinical specialist team</w:t>
            </w:r>
          </w:p>
        </w:tc>
        <w:tc>
          <w:tcPr>
            <w:tcW w:w="184" w:type="pct"/>
            <w:vMerge/>
          </w:tcPr>
          <w:p w14:paraId="12C6B086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D966" w:themeFill="accent4" w:themeFillTint="99"/>
          </w:tcPr>
          <w:p w14:paraId="6B6EB17C" w14:textId="01C3D2DB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 xml:space="preserve">C18. Material on HIV </w:t>
            </w:r>
          </w:p>
        </w:tc>
        <w:tc>
          <w:tcPr>
            <w:tcW w:w="184" w:type="pct"/>
            <w:vMerge/>
          </w:tcPr>
          <w:p w14:paraId="109BD3B7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4515DC16" w14:textId="5838DDC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Human Resources and Partnerships</w:t>
            </w:r>
          </w:p>
        </w:tc>
      </w:tr>
      <w:tr w:rsidR="0048199D" w:rsidRPr="00EE5835" w14:paraId="6C286D1F" w14:textId="77777777" w:rsidTr="008E0DAC">
        <w:tc>
          <w:tcPr>
            <w:tcW w:w="184" w:type="pct"/>
            <w:vMerge/>
          </w:tcPr>
          <w:p w14:paraId="1C842CFB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15BE6D08" w14:textId="33D45F57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A18. Pre-dispensing and packaging</w:t>
            </w:r>
          </w:p>
        </w:tc>
        <w:tc>
          <w:tcPr>
            <w:tcW w:w="184" w:type="pct"/>
            <w:vMerge/>
          </w:tcPr>
          <w:p w14:paraId="4569893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7CC13354" w14:textId="5C64B666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B18. Frequency of visits by the District clinical specialist team</w:t>
            </w:r>
          </w:p>
        </w:tc>
        <w:tc>
          <w:tcPr>
            <w:tcW w:w="184" w:type="pct"/>
            <w:vMerge/>
          </w:tcPr>
          <w:p w14:paraId="1ADB1A80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62945313" w14:textId="6B66C704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</w:p>
          <w:p w14:paraId="60EDD119" w14:textId="1E7B949C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b/>
                <w:sz w:val="14"/>
                <w:szCs w:val="14"/>
              </w:rPr>
              <w:t>Patient down referrals</w:t>
            </w:r>
          </w:p>
        </w:tc>
        <w:tc>
          <w:tcPr>
            <w:tcW w:w="184" w:type="pct"/>
            <w:vMerge/>
          </w:tcPr>
          <w:p w14:paraId="6F43F10B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1C83177A" w14:textId="75F238B1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D1</w:t>
            </w:r>
            <w:r w:rsidR="002009B8">
              <w:rPr>
                <w:rFonts w:cstheme="minorHAnsi"/>
                <w:sz w:val="14"/>
                <w:szCs w:val="14"/>
              </w:rPr>
              <w:t>8</w:t>
            </w:r>
            <w:r w:rsidRPr="00733BFE">
              <w:rPr>
                <w:rFonts w:cstheme="minorHAnsi"/>
                <w:sz w:val="14"/>
                <w:szCs w:val="14"/>
              </w:rPr>
              <w:t>. Integrated school health team</w:t>
            </w:r>
          </w:p>
        </w:tc>
      </w:tr>
      <w:tr w:rsidR="0048199D" w:rsidRPr="00EE5835" w14:paraId="7E17529D" w14:textId="77777777" w:rsidTr="008E0DAC">
        <w:tc>
          <w:tcPr>
            <w:tcW w:w="184" w:type="pct"/>
            <w:vMerge/>
          </w:tcPr>
          <w:p w14:paraId="6EFF9BB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5F04F81E" w14:textId="71D035AB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A19. Storage of pre-packed medication</w:t>
            </w:r>
          </w:p>
        </w:tc>
        <w:tc>
          <w:tcPr>
            <w:tcW w:w="184" w:type="pct"/>
            <w:vMerge/>
          </w:tcPr>
          <w:p w14:paraId="5CAF8BDC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55956584" w14:textId="68598E0C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B19. Clinical audits by the District clinical specialist team</w:t>
            </w:r>
          </w:p>
        </w:tc>
        <w:tc>
          <w:tcPr>
            <w:tcW w:w="184" w:type="pct"/>
            <w:vMerge/>
          </w:tcPr>
          <w:p w14:paraId="5F6456B0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275E80B2" w14:textId="7F93B2EA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C19. Practice of down referrals</w:t>
            </w:r>
          </w:p>
        </w:tc>
        <w:tc>
          <w:tcPr>
            <w:tcW w:w="184" w:type="pct"/>
            <w:vMerge/>
          </w:tcPr>
          <w:p w14:paraId="6F7BEF93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00A2BC1D" w14:textId="2EC0AC0F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</w:t>
            </w:r>
            <w:r w:rsidR="002009B8">
              <w:rPr>
                <w:rFonts w:cstheme="minorHAnsi"/>
                <w:sz w:val="14"/>
                <w:szCs w:val="14"/>
              </w:rPr>
              <w:t>19</w:t>
            </w:r>
            <w:r w:rsidRPr="00733BFE">
              <w:rPr>
                <w:rFonts w:cstheme="minorHAnsi"/>
                <w:sz w:val="14"/>
                <w:szCs w:val="14"/>
              </w:rPr>
              <w:t>. Support groups and Adherence clubs</w:t>
            </w:r>
          </w:p>
        </w:tc>
      </w:tr>
      <w:tr w:rsidR="0048199D" w:rsidRPr="00EE5835" w14:paraId="65837125" w14:textId="77777777" w:rsidTr="008E0DAC">
        <w:tc>
          <w:tcPr>
            <w:tcW w:w="184" w:type="pct"/>
            <w:vMerge/>
          </w:tcPr>
          <w:p w14:paraId="110CE3D5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368D2B96" w14:textId="417484B4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A20. Stock-outs of chronic medication</w:t>
            </w:r>
          </w:p>
        </w:tc>
        <w:tc>
          <w:tcPr>
            <w:tcW w:w="184" w:type="pct"/>
            <w:vMerge/>
          </w:tcPr>
          <w:p w14:paraId="60CDDEB9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54E6591D" w14:textId="04E65775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B20. Mentoring of facility staff by the District clinical specialist team</w:t>
            </w:r>
          </w:p>
        </w:tc>
        <w:tc>
          <w:tcPr>
            <w:tcW w:w="184" w:type="pct"/>
            <w:vMerge/>
          </w:tcPr>
          <w:p w14:paraId="23F59BAF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20623C80" w14:textId="7D89883D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C20. Criteria for down referral</w:t>
            </w:r>
          </w:p>
        </w:tc>
        <w:tc>
          <w:tcPr>
            <w:tcW w:w="184" w:type="pct"/>
            <w:vMerge/>
          </w:tcPr>
          <w:p w14:paraId="73B7CF9E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6DA4C76C" w14:textId="720F11C6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D2</w:t>
            </w:r>
            <w:r w:rsidR="002009B8">
              <w:rPr>
                <w:rFonts w:cstheme="minorHAnsi"/>
                <w:sz w:val="14"/>
                <w:szCs w:val="14"/>
              </w:rPr>
              <w:t>0</w:t>
            </w:r>
            <w:r w:rsidRPr="00733BFE">
              <w:rPr>
                <w:rFonts w:cstheme="minorHAnsi"/>
                <w:sz w:val="14"/>
                <w:szCs w:val="14"/>
              </w:rPr>
              <w:t>. Provincial and district level leadership and support for ICDM</w:t>
            </w:r>
          </w:p>
        </w:tc>
      </w:tr>
      <w:tr w:rsidR="0048199D" w:rsidRPr="00EE5835" w14:paraId="6B1F4215" w14:textId="77777777" w:rsidTr="008E0DAC">
        <w:tc>
          <w:tcPr>
            <w:tcW w:w="184" w:type="pct"/>
            <w:vMerge/>
          </w:tcPr>
          <w:p w14:paraId="06E5D865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3AAB463A" w14:textId="40C4716F" w:rsidR="0048199D" w:rsidRPr="00733BFE" w:rsidRDefault="0048199D" w:rsidP="00EE5835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A21. Usage of stock cards</w:t>
            </w:r>
          </w:p>
        </w:tc>
        <w:tc>
          <w:tcPr>
            <w:tcW w:w="184" w:type="pct"/>
            <w:vMerge/>
          </w:tcPr>
          <w:p w14:paraId="57B1E700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shd w:val="clear" w:color="auto" w:fill="D5DCE4" w:themeFill="text2" w:themeFillTint="33"/>
          </w:tcPr>
          <w:p w14:paraId="5EF7D339" w14:textId="21545D32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B21. Strengthening of the referral mechanisms between facility and hospitals</w:t>
            </w:r>
          </w:p>
        </w:tc>
        <w:tc>
          <w:tcPr>
            <w:tcW w:w="184" w:type="pct"/>
            <w:vMerge/>
          </w:tcPr>
          <w:p w14:paraId="646F24F2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16E93FB1" w14:textId="151EC93A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C21. Patients down referred</w:t>
            </w:r>
          </w:p>
        </w:tc>
        <w:tc>
          <w:tcPr>
            <w:tcW w:w="184" w:type="pct"/>
            <w:vMerge/>
          </w:tcPr>
          <w:p w14:paraId="0D3D32BC" w14:textId="77777777" w:rsidR="0048199D" w:rsidRPr="00EE5835" w:rsidRDefault="0048199D" w:rsidP="00EE5835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7FD00A12" w14:textId="28038723" w:rsidR="0048199D" w:rsidRPr="00733BFE" w:rsidRDefault="0048199D" w:rsidP="00EE5835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D2</w:t>
            </w:r>
            <w:r w:rsidR="002009B8">
              <w:rPr>
                <w:rFonts w:cstheme="minorHAnsi"/>
                <w:sz w:val="14"/>
                <w:szCs w:val="14"/>
              </w:rPr>
              <w:t>1</w:t>
            </w:r>
            <w:r w:rsidRPr="00733BFE">
              <w:rPr>
                <w:rFonts w:cstheme="minorHAnsi"/>
                <w:sz w:val="14"/>
                <w:szCs w:val="14"/>
              </w:rPr>
              <w:t>. M-health</w:t>
            </w:r>
          </w:p>
        </w:tc>
      </w:tr>
      <w:tr w:rsidR="00EE50EF" w:rsidRPr="00EE5835" w14:paraId="38110FB1" w14:textId="77777777" w:rsidTr="008E0DAC">
        <w:tc>
          <w:tcPr>
            <w:tcW w:w="184" w:type="pct"/>
            <w:vMerge/>
          </w:tcPr>
          <w:p w14:paraId="32651B98" w14:textId="77777777" w:rsidR="00EE50EF" w:rsidRPr="00EE5835" w:rsidRDefault="00EE50EF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shd w:val="clear" w:color="auto" w:fill="F2F2F2" w:themeFill="background1" w:themeFillShade="F2"/>
          </w:tcPr>
          <w:p w14:paraId="6BE052FC" w14:textId="41F44FE6" w:rsidR="00EE50EF" w:rsidRPr="00733BFE" w:rsidRDefault="00EE50EF" w:rsidP="00430C13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A22. Supply of medication provided to chronic patients</w:t>
            </w:r>
          </w:p>
        </w:tc>
        <w:tc>
          <w:tcPr>
            <w:tcW w:w="184" w:type="pct"/>
            <w:vMerge/>
          </w:tcPr>
          <w:p w14:paraId="17DC734D" w14:textId="77777777" w:rsidR="00EE50EF" w:rsidRPr="00EE5835" w:rsidRDefault="00EE50EF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vMerge w:val="restart"/>
          </w:tcPr>
          <w:p w14:paraId="7F401E38" w14:textId="77777777" w:rsidR="00EE50EF" w:rsidRPr="00733BFE" w:rsidRDefault="00EE50EF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</w:p>
        </w:tc>
        <w:tc>
          <w:tcPr>
            <w:tcW w:w="184" w:type="pct"/>
            <w:vMerge/>
          </w:tcPr>
          <w:p w14:paraId="59D454F6" w14:textId="77777777" w:rsidR="00EE50EF" w:rsidRPr="00EE5835" w:rsidRDefault="00EE50EF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41CC3CB4" w14:textId="36D195A8" w:rsidR="00EE50EF" w:rsidRPr="00733BFE" w:rsidRDefault="00EE50EF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C22. Level of utilization of down referrals</w:t>
            </w:r>
          </w:p>
        </w:tc>
        <w:tc>
          <w:tcPr>
            <w:tcW w:w="184" w:type="pct"/>
            <w:vMerge/>
          </w:tcPr>
          <w:p w14:paraId="5341AF57" w14:textId="77777777" w:rsidR="00EE50EF" w:rsidRPr="00EE5835" w:rsidRDefault="00EE50EF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shd w:val="clear" w:color="auto" w:fill="DEEAF6" w:themeFill="accent5" w:themeFillTint="33"/>
          </w:tcPr>
          <w:p w14:paraId="19F0704E" w14:textId="7624506C" w:rsidR="00EE50EF" w:rsidRPr="008E0DAC" w:rsidRDefault="00C70357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8E0DAC">
              <w:rPr>
                <w:rFonts w:cstheme="minorHAnsi"/>
                <w:sz w:val="14"/>
                <w:szCs w:val="14"/>
                <w:lang w:val="en-US"/>
              </w:rPr>
              <w:t>D22.  Externally Funded partners’</w:t>
            </w:r>
          </w:p>
        </w:tc>
      </w:tr>
      <w:tr w:rsidR="008E0DAC" w:rsidRPr="00EE5835" w14:paraId="0C98FD58" w14:textId="77777777" w:rsidTr="008E0DAC">
        <w:tc>
          <w:tcPr>
            <w:tcW w:w="184" w:type="pct"/>
            <w:vMerge/>
          </w:tcPr>
          <w:p w14:paraId="2EE6D955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vMerge w:val="restart"/>
            <w:shd w:val="clear" w:color="auto" w:fill="F2F2F2" w:themeFill="background1" w:themeFillShade="F2"/>
          </w:tcPr>
          <w:p w14:paraId="692C5F34" w14:textId="77777777" w:rsidR="008E0DAC" w:rsidRPr="00733BFE" w:rsidRDefault="008E0DAC" w:rsidP="00430C13">
            <w:pPr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" w:type="pct"/>
            <w:vMerge/>
          </w:tcPr>
          <w:p w14:paraId="664D391C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vMerge/>
          </w:tcPr>
          <w:p w14:paraId="3B94E49A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84" w:type="pct"/>
            <w:vMerge/>
          </w:tcPr>
          <w:p w14:paraId="5A12C455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1D02C94C" w14:textId="58E6D097" w:rsidR="008E0DAC" w:rsidRPr="00733BFE" w:rsidRDefault="008E0DAC" w:rsidP="00430C13">
            <w:pPr>
              <w:rPr>
                <w:rFonts w:cstheme="minorHAnsi"/>
                <w:sz w:val="14"/>
                <w:szCs w:val="14"/>
                <w:lang w:val="en-US"/>
              </w:rPr>
            </w:pPr>
            <w:r w:rsidRPr="00733BFE">
              <w:rPr>
                <w:rFonts w:cstheme="minorHAnsi"/>
                <w:sz w:val="14"/>
                <w:szCs w:val="14"/>
              </w:rPr>
              <w:t>C23. Places for down referrals in the community</w:t>
            </w:r>
          </w:p>
        </w:tc>
        <w:tc>
          <w:tcPr>
            <w:tcW w:w="184" w:type="pct"/>
            <w:vMerge/>
          </w:tcPr>
          <w:p w14:paraId="0EF128FA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vMerge w:val="restart"/>
            <w:shd w:val="clear" w:color="auto" w:fill="auto"/>
          </w:tcPr>
          <w:p w14:paraId="54BDB36B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8E0DAC" w:rsidRPr="00EE5835" w14:paraId="58DACF86" w14:textId="77777777" w:rsidTr="008E0DAC">
        <w:trPr>
          <w:trHeight w:val="155"/>
        </w:trPr>
        <w:tc>
          <w:tcPr>
            <w:tcW w:w="184" w:type="pct"/>
            <w:vMerge/>
          </w:tcPr>
          <w:p w14:paraId="03AE8C47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1" w:type="pct"/>
            <w:vMerge/>
            <w:shd w:val="clear" w:color="auto" w:fill="F2F2F2" w:themeFill="background1" w:themeFillShade="F2"/>
          </w:tcPr>
          <w:p w14:paraId="5A482914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</w:rPr>
            </w:pPr>
          </w:p>
        </w:tc>
        <w:tc>
          <w:tcPr>
            <w:tcW w:w="184" w:type="pct"/>
            <w:vMerge/>
          </w:tcPr>
          <w:p w14:paraId="1D5CC154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999" w:type="pct"/>
            <w:vMerge/>
          </w:tcPr>
          <w:p w14:paraId="0A717DEC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84" w:type="pct"/>
            <w:vMerge/>
          </w:tcPr>
          <w:p w14:paraId="3EF8885F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035" w:type="pct"/>
            <w:shd w:val="clear" w:color="auto" w:fill="FFF2CC" w:themeFill="accent4" w:themeFillTint="33"/>
          </w:tcPr>
          <w:p w14:paraId="5F9482D8" w14:textId="164B9113" w:rsidR="008E0DAC" w:rsidRPr="00733BFE" w:rsidRDefault="008E0DAC" w:rsidP="00430C13">
            <w:pPr>
              <w:rPr>
                <w:rFonts w:cstheme="minorHAnsi"/>
                <w:sz w:val="14"/>
                <w:szCs w:val="14"/>
              </w:rPr>
            </w:pPr>
            <w:r w:rsidRPr="00733BFE">
              <w:rPr>
                <w:rFonts w:cstheme="minorHAnsi"/>
                <w:sz w:val="14"/>
                <w:szCs w:val="14"/>
              </w:rPr>
              <w:t>C24. CHW allocated to patients that have been down referred</w:t>
            </w:r>
          </w:p>
        </w:tc>
        <w:tc>
          <w:tcPr>
            <w:tcW w:w="184" w:type="pct"/>
            <w:vMerge/>
          </w:tcPr>
          <w:p w14:paraId="5F6C8C9B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119" w:type="pct"/>
            <w:vMerge/>
            <w:shd w:val="clear" w:color="auto" w:fill="auto"/>
          </w:tcPr>
          <w:p w14:paraId="625B04FA" w14:textId="77777777" w:rsidR="008E0DAC" w:rsidRPr="00EE5835" w:rsidRDefault="008E0DAC" w:rsidP="00430C13">
            <w:pPr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</w:tbl>
    <w:p w14:paraId="17844B58" w14:textId="77777777" w:rsidR="00AF6620" w:rsidRPr="00EE50EF" w:rsidRDefault="00AF6620" w:rsidP="00733BFE"/>
    <w:sectPr w:rsidR="00AF6620" w:rsidRPr="00EE50EF" w:rsidSect="00DB598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C152CA"/>
    <w:multiLevelType w:val="hybridMultilevel"/>
    <w:tmpl w:val="0A907970"/>
    <w:lvl w:ilvl="0" w:tplc="4CB0929C">
      <w:start w:val="1"/>
      <w:numFmt w:val="upperLetter"/>
      <w:lvlText w:val="%1."/>
      <w:lvlJc w:val="left"/>
      <w:pPr>
        <w:ind w:left="473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20"/>
    <w:rsid w:val="00006743"/>
    <w:rsid w:val="000374A1"/>
    <w:rsid w:val="0004090E"/>
    <w:rsid w:val="00047E71"/>
    <w:rsid w:val="00080C77"/>
    <w:rsid w:val="000919B5"/>
    <w:rsid w:val="00091FBD"/>
    <w:rsid w:val="000968CA"/>
    <w:rsid w:val="00097CCB"/>
    <w:rsid w:val="000A2995"/>
    <w:rsid w:val="000A3E2E"/>
    <w:rsid w:val="000A5911"/>
    <w:rsid w:val="000B6400"/>
    <w:rsid w:val="000C06B7"/>
    <w:rsid w:val="000C234D"/>
    <w:rsid w:val="000C7541"/>
    <w:rsid w:val="000D358D"/>
    <w:rsid w:val="000D4C82"/>
    <w:rsid w:val="000D723B"/>
    <w:rsid w:val="000F2190"/>
    <w:rsid w:val="001075DB"/>
    <w:rsid w:val="00116625"/>
    <w:rsid w:val="001520C1"/>
    <w:rsid w:val="001A18D4"/>
    <w:rsid w:val="001D26C8"/>
    <w:rsid w:val="001F02D4"/>
    <w:rsid w:val="001F3CDF"/>
    <w:rsid w:val="002009B8"/>
    <w:rsid w:val="00240225"/>
    <w:rsid w:val="002535FD"/>
    <w:rsid w:val="002645AA"/>
    <w:rsid w:val="0026544E"/>
    <w:rsid w:val="0027030C"/>
    <w:rsid w:val="0027086A"/>
    <w:rsid w:val="00273F95"/>
    <w:rsid w:val="0027608D"/>
    <w:rsid w:val="00281208"/>
    <w:rsid w:val="00283B1E"/>
    <w:rsid w:val="0029601F"/>
    <w:rsid w:val="002C35A5"/>
    <w:rsid w:val="002C7DC8"/>
    <w:rsid w:val="00317C4D"/>
    <w:rsid w:val="0034322E"/>
    <w:rsid w:val="003558DB"/>
    <w:rsid w:val="0038703E"/>
    <w:rsid w:val="0039095F"/>
    <w:rsid w:val="003965C4"/>
    <w:rsid w:val="0039718F"/>
    <w:rsid w:val="003A3F85"/>
    <w:rsid w:val="003A59C7"/>
    <w:rsid w:val="003B143A"/>
    <w:rsid w:val="003C1A7E"/>
    <w:rsid w:val="003D46F3"/>
    <w:rsid w:val="003E3B92"/>
    <w:rsid w:val="004003CD"/>
    <w:rsid w:val="00407C74"/>
    <w:rsid w:val="00430C13"/>
    <w:rsid w:val="004340B8"/>
    <w:rsid w:val="00434718"/>
    <w:rsid w:val="00436584"/>
    <w:rsid w:val="00441E1A"/>
    <w:rsid w:val="00454A11"/>
    <w:rsid w:val="00471558"/>
    <w:rsid w:val="0048199D"/>
    <w:rsid w:val="00492F02"/>
    <w:rsid w:val="00497150"/>
    <w:rsid w:val="004A18CE"/>
    <w:rsid w:val="004D1485"/>
    <w:rsid w:val="004D6A8B"/>
    <w:rsid w:val="004E1276"/>
    <w:rsid w:val="004E3BCA"/>
    <w:rsid w:val="004F4A3C"/>
    <w:rsid w:val="00532626"/>
    <w:rsid w:val="005626E2"/>
    <w:rsid w:val="00563B6D"/>
    <w:rsid w:val="005668E7"/>
    <w:rsid w:val="00572D80"/>
    <w:rsid w:val="00581788"/>
    <w:rsid w:val="0059014A"/>
    <w:rsid w:val="005A0E32"/>
    <w:rsid w:val="005B03E7"/>
    <w:rsid w:val="005B4534"/>
    <w:rsid w:val="005C5999"/>
    <w:rsid w:val="005D0AAE"/>
    <w:rsid w:val="005D67C4"/>
    <w:rsid w:val="005E005B"/>
    <w:rsid w:val="005F5F1C"/>
    <w:rsid w:val="005F6B62"/>
    <w:rsid w:val="00616B64"/>
    <w:rsid w:val="00622F45"/>
    <w:rsid w:val="00632A81"/>
    <w:rsid w:val="006364DF"/>
    <w:rsid w:val="00636A8F"/>
    <w:rsid w:val="00651B8E"/>
    <w:rsid w:val="00677C3A"/>
    <w:rsid w:val="00677D4C"/>
    <w:rsid w:val="006871ED"/>
    <w:rsid w:val="006D7BF2"/>
    <w:rsid w:val="006E0A03"/>
    <w:rsid w:val="006E328C"/>
    <w:rsid w:val="00720774"/>
    <w:rsid w:val="00733BFE"/>
    <w:rsid w:val="00735322"/>
    <w:rsid w:val="007772CF"/>
    <w:rsid w:val="007A0778"/>
    <w:rsid w:val="007B2CFA"/>
    <w:rsid w:val="007C2A6F"/>
    <w:rsid w:val="007D1C99"/>
    <w:rsid w:val="007D45E5"/>
    <w:rsid w:val="007E3D07"/>
    <w:rsid w:val="00811012"/>
    <w:rsid w:val="00811C5C"/>
    <w:rsid w:val="0083650D"/>
    <w:rsid w:val="00836D67"/>
    <w:rsid w:val="00843D91"/>
    <w:rsid w:val="008B5E7D"/>
    <w:rsid w:val="008C4376"/>
    <w:rsid w:val="008E0DAC"/>
    <w:rsid w:val="008E5B7D"/>
    <w:rsid w:val="00920996"/>
    <w:rsid w:val="00932087"/>
    <w:rsid w:val="00933E60"/>
    <w:rsid w:val="00934987"/>
    <w:rsid w:val="00941D5D"/>
    <w:rsid w:val="00965BE1"/>
    <w:rsid w:val="009850AE"/>
    <w:rsid w:val="009A3276"/>
    <w:rsid w:val="009F1DC8"/>
    <w:rsid w:val="009F4A87"/>
    <w:rsid w:val="00A23EDE"/>
    <w:rsid w:val="00A25527"/>
    <w:rsid w:val="00A42C5A"/>
    <w:rsid w:val="00A44F26"/>
    <w:rsid w:val="00A4533B"/>
    <w:rsid w:val="00A52428"/>
    <w:rsid w:val="00A73DE6"/>
    <w:rsid w:val="00A90026"/>
    <w:rsid w:val="00AB76EF"/>
    <w:rsid w:val="00AC1750"/>
    <w:rsid w:val="00AC52E7"/>
    <w:rsid w:val="00AE0DA1"/>
    <w:rsid w:val="00AE773A"/>
    <w:rsid w:val="00AF6620"/>
    <w:rsid w:val="00B11756"/>
    <w:rsid w:val="00B221DA"/>
    <w:rsid w:val="00B56C11"/>
    <w:rsid w:val="00B60259"/>
    <w:rsid w:val="00B669C7"/>
    <w:rsid w:val="00BA654F"/>
    <w:rsid w:val="00BB092A"/>
    <w:rsid w:val="00BD0250"/>
    <w:rsid w:val="00BD2AB2"/>
    <w:rsid w:val="00BD3F9A"/>
    <w:rsid w:val="00C5465B"/>
    <w:rsid w:val="00C625D7"/>
    <w:rsid w:val="00C70357"/>
    <w:rsid w:val="00C85E19"/>
    <w:rsid w:val="00CB4F59"/>
    <w:rsid w:val="00CE725C"/>
    <w:rsid w:val="00D2623D"/>
    <w:rsid w:val="00D265BF"/>
    <w:rsid w:val="00D277DD"/>
    <w:rsid w:val="00D61203"/>
    <w:rsid w:val="00D62A1E"/>
    <w:rsid w:val="00D65218"/>
    <w:rsid w:val="00D667BE"/>
    <w:rsid w:val="00D93038"/>
    <w:rsid w:val="00D96291"/>
    <w:rsid w:val="00D9711C"/>
    <w:rsid w:val="00DA7600"/>
    <w:rsid w:val="00DB598F"/>
    <w:rsid w:val="00DB7017"/>
    <w:rsid w:val="00DE0673"/>
    <w:rsid w:val="00DF3D32"/>
    <w:rsid w:val="00DF4660"/>
    <w:rsid w:val="00DF522D"/>
    <w:rsid w:val="00DF593A"/>
    <w:rsid w:val="00DF5A20"/>
    <w:rsid w:val="00E10F8B"/>
    <w:rsid w:val="00E25BFE"/>
    <w:rsid w:val="00E34CD3"/>
    <w:rsid w:val="00E375D7"/>
    <w:rsid w:val="00E50A29"/>
    <w:rsid w:val="00E54C96"/>
    <w:rsid w:val="00E615E7"/>
    <w:rsid w:val="00E617DD"/>
    <w:rsid w:val="00E72F11"/>
    <w:rsid w:val="00E75A42"/>
    <w:rsid w:val="00E86443"/>
    <w:rsid w:val="00E93AFC"/>
    <w:rsid w:val="00E94941"/>
    <w:rsid w:val="00EB42B6"/>
    <w:rsid w:val="00EB4722"/>
    <w:rsid w:val="00EB750F"/>
    <w:rsid w:val="00EE10F1"/>
    <w:rsid w:val="00EE50EF"/>
    <w:rsid w:val="00EE5835"/>
    <w:rsid w:val="00F17376"/>
    <w:rsid w:val="00F248D0"/>
    <w:rsid w:val="00F3015D"/>
    <w:rsid w:val="00F334A6"/>
    <w:rsid w:val="00F5466A"/>
    <w:rsid w:val="00F63EA9"/>
    <w:rsid w:val="00F65349"/>
    <w:rsid w:val="00F7465F"/>
    <w:rsid w:val="00FA3F4B"/>
    <w:rsid w:val="00FE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868C31"/>
  <w15:chartTrackingRefBased/>
  <w15:docId w15:val="{BCAA7D6A-EF73-1942-B6E4-407A5407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59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0DAC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DA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2019-08-07T06:25:00Z</dcterms:created>
  <dcterms:modified xsi:type="dcterms:W3CDTF">2019-08-07T06:30:00Z</dcterms:modified>
</cp:coreProperties>
</file>